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3" w:lineRule="auto"/>
        <w:ind w:right="956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       </w:t>
      </w:r>
    </w:p>
    <w:p w:rsidR="00000000" w:rsidDel="00000000" w:rsidP="00000000" w:rsidRDefault="00000000" w:rsidRPr="00000000" w14:paraId="00000002">
      <w:pPr>
        <w:spacing w:before="63" w:lineRule="auto"/>
        <w:ind w:right="248.74015748031638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DICHIARAZIONE SOSTITUTIVA DI POSSESSO DEI REQUISITI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10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(resa ai sensi degli articoli 46 e 47 del D.P.R. 28/12/2000 n. 445)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AVVISO ESPLORATIVO DI MERCATO FINALIZZATO ALL’ACQUISIZIONE DI MANIFESTAZIONE DI INTERESSE, CORREDATE DI RELATIVA RELAZIONE TECNICA, PER IL SUCCESSIVO AFFIDAMENTO DIRETTO AI SENSI ART.50 LETT. B) D.LGS 36/2023 DELLA FORNITURA DI UN SISTEMA PER MISURE SPERIMENTALI PER LA CARATTERIZZAZIONE DI SPRAY DI COMBUSTIBILI GREEN</w:t>
      </w:r>
    </w:p>
    <w:p w:rsidR="00000000" w:rsidDel="00000000" w:rsidP="00000000" w:rsidRDefault="00000000" w:rsidRPr="00000000" w14:paraId="00000006">
      <w:pPr>
        <w:ind w:hanging="2"/>
        <w:jc w:val="both"/>
        <w:rPr>
          <w:b w:val="1"/>
        </w:rPr>
      </w:pPr>
      <w:bookmarkStart w:colFirst="0" w:colLast="0" w:name="_heading=h.xx3y2w4v8nh1" w:id="0"/>
      <w:bookmarkEnd w:id="0"/>
      <w:r w:rsidDel="00000000" w:rsidR="00000000" w:rsidRPr="00000000">
        <w:rPr>
          <w:b w:val="1"/>
          <w:rtl w:val="0"/>
        </w:rPr>
        <w:t xml:space="preserve">Riferimento procedura Codice avviso A00078</w:t>
      </w:r>
    </w:p>
    <w:p w:rsidR="00000000" w:rsidDel="00000000" w:rsidP="00000000" w:rsidRDefault="00000000" w:rsidRPr="00000000" w14:paraId="00000007">
      <w:pPr>
        <w:ind w:lef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29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PNRR Missione 4 - Componente 2 - Investimento 1.4 CN4 - SPOKE 1</w:t>
      </w:r>
    </w:p>
    <w:p w:rsidR="00000000" w:rsidDel="00000000" w:rsidP="00000000" w:rsidRDefault="00000000" w:rsidRPr="00000000" w14:paraId="00000009">
      <w:pPr>
        <w:ind w:left="129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CUP B83C22002900007</w:t>
      </w:r>
    </w:p>
    <w:p w:rsidR="00000000" w:rsidDel="00000000" w:rsidP="00000000" w:rsidRDefault="00000000" w:rsidRPr="00000000" w14:paraId="0000000A">
      <w:pPr>
        <w:ind w:left="129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Ind w:w="1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5"/>
        <w:gridCol w:w="2458"/>
        <w:gridCol w:w="540"/>
        <w:gridCol w:w="4373"/>
        <w:tblGridChange w:id="0">
          <w:tblGrid>
            <w:gridCol w:w="2405"/>
            <w:gridCol w:w="2458"/>
            <w:gridCol w:w="540"/>
            <w:gridCol w:w="4373"/>
          </w:tblGrid>
        </w:tblGridChange>
      </w:tblGrid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sottoscritto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Nato a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fiscale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Cittadinanza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5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il concorrente decadrà dai benefici per i quali la stessa è rilasciata.</w:t>
      </w:r>
    </w:p>
    <w:p w:rsidR="00000000" w:rsidDel="00000000" w:rsidP="00000000" w:rsidRDefault="00000000" w:rsidRPr="00000000" w14:paraId="0000001E">
      <w:pPr>
        <w:pStyle w:val="Heading1"/>
        <w:ind w:left="1898" w:right="1928" w:firstLine="0"/>
        <w:jc w:val="center"/>
        <w:rPr/>
      </w:pPr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3"/>
          <w:tab w:val="left" w:leader="none" w:pos="575"/>
        </w:tabs>
        <w:spacing w:after="0" w:before="0" w:line="240" w:lineRule="auto"/>
        <w:ind w:left="574" w:right="0" w:hanging="455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INFORMAZIONI SULL’OPERATORE ECONOMICO</w:t>
      </w:r>
    </w:p>
    <w:tbl>
      <w:tblPr>
        <w:tblStyle w:val="Table2"/>
        <w:tblW w:w="9795.0" w:type="dxa"/>
        <w:jc w:val="left"/>
        <w:tblInd w:w="1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1605"/>
        <w:gridCol w:w="1890"/>
        <w:gridCol w:w="2370"/>
        <w:gridCol w:w="2370"/>
        <w:tblGridChange w:id="0">
          <w:tblGrid>
            <w:gridCol w:w="1560"/>
            <w:gridCol w:w="1605"/>
            <w:gridCol w:w="1890"/>
            <w:gridCol w:w="2370"/>
            <w:gridCol w:w="2370"/>
          </w:tblGrid>
        </w:tblGridChange>
      </w:tblGrid>
      <w:tr>
        <w:trPr>
          <w:cantSplit w:val="0"/>
          <w:trHeight w:val="31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22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Ragione Sociale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22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 giuridica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Sede Legale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21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Indirizzo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21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21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Città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215" w:right="18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Provincia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21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22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Partita I.V.A.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Fiscale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22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Indirizzo PEC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Indirizzo e-mail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22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1"/>
        <w:numPr>
          <w:ilvl w:val="0"/>
          <w:numId w:val="2"/>
        </w:numPr>
        <w:tabs>
          <w:tab w:val="left" w:leader="none" w:pos="573"/>
          <w:tab w:val="left" w:leader="none" w:pos="575"/>
        </w:tabs>
        <w:ind w:left="574" w:right="-36" w:hanging="455"/>
        <w:rPr/>
      </w:pPr>
      <w:r w:rsidDel="00000000" w:rsidR="00000000" w:rsidRPr="00000000">
        <w:rPr>
          <w:rtl w:val="0"/>
        </w:rPr>
        <w:t xml:space="preserve">INFORMAZIONI SUI RAPPRESENTANTI / DIRETTORI TECNICI/SOCI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3"/>
            <w:tblW w:w="10175.0" w:type="dxa"/>
            <w:jc w:val="left"/>
            <w:tblInd w:w="-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3060"/>
            <w:gridCol w:w="2371.6666666666665"/>
            <w:gridCol w:w="2371.6666666666665"/>
            <w:gridCol w:w="2371.6666666666665"/>
            <w:tblGridChange w:id="0">
              <w:tblGrid>
                <w:gridCol w:w="3060"/>
                <w:gridCol w:w="2371.6666666666665"/>
                <w:gridCol w:w="2371.6666666666665"/>
                <w:gridCol w:w="2371.6666666666665"/>
              </w:tblGrid>
            </w:tblGridChange>
          </w:tblGrid>
          <w:tr>
            <w:trPr>
              <w:cantSplit w:val="0"/>
              <w:trHeight w:val="1847" w:hRule="atLeast"/>
              <w:tblHeader w:val="0"/>
            </w:trPr>
            <w:tc>
              <w:tcPr>
                <w:gridSpan w:val="4"/>
                <w:shd w:fill="e7e6e6" w:val="clear"/>
              </w:tcPr>
              <w:p w:rsidR="00000000" w:rsidDel="00000000" w:rsidP="00000000" w:rsidRDefault="00000000" w:rsidRPr="00000000" w14:paraId="00000057">
                <w:pPr>
                  <w:spacing w:before="1" w:lineRule="auto"/>
                  <w:ind w:left="107" w:firstLine="0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Ai sensi dell’art. 94 co. 3 del D.lgs. n. 36/2023 devono essere specificati:</w:t>
                </w:r>
              </w:p>
              <w:p w:rsidR="00000000" w:rsidDel="00000000" w:rsidP="00000000" w:rsidRDefault="00000000" w:rsidRPr="00000000" w14:paraId="00000058">
                <w:pPr>
                  <w:numPr>
                    <w:ilvl w:val="0"/>
                    <w:numId w:val="1"/>
                  </w:numPr>
                  <w:tabs>
                    <w:tab w:val="left" w:leader="none" w:pos="829"/>
                  </w:tabs>
                  <w:spacing w:before="1" w:line="219" w:lineRule="auto"/>
                  <w:ind w:left="828" w:hanging="36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b) titolare e direttore tecnico, se si tratta di impresa individuale;</w:t>
                </w:r>
              </w:p>
              <w:p w:rsidR="00000000" w:rsidDel="00000000" w:rsidP="00000000" w:rsidRDefault="00000000" w:rsidRPr="00000000" w14:paraId="00000059">
                <w:pPr>
                  <w:numPr>
                    <w:ilvl w:val="0"/>
                    <w:numId w:val="1"/>
                  </w:numPr>
                  <w:tabs>
                    <w:tab w:val="left" w:leader="none" w:pos="829"/>
                  </w:tabs>
                  <w:spacing w:before="1" w:line="219" w:lineRule="auto"/>
                  <w:ind w:left="828" w:hanging="36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c) socio amministratore e direttore tecnico, se si tratta di società in nome collettivo;</w:t>
                </w:r>
              </w:p>
              <w:p w:rsidR="00000000" w:rsidDel="00000000" w:rsidP="00000000" w:rsidRDefault="00000000" w:rsidRPr="00000000" w14:paraId="0000005A">
                <w:pPr>
                  <w:numPr>
                    <w:ilvl w:val="0"/>
                    <w:numId w:val="1"/>
                  </w:numPr>
                  <w:tabs>
                    <w:tab w:val="left" w:leader="none" w:pos="829"/>
                  </w:tabs>
                  <w:spacing w:before="1" w:line="219" w:lineRule="auto"/>
                  <w:ind w:left="828" w:hanging="36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d) soci accomandatari e direttore tecnico, se si tratta di società in accomandita semplice;</w:t>
                </w:r>
              </w:p>
              <w:p w:rsidR="00000000" w:rsidDel="00000000" w:rsidP="00000000" w:rsidRDefault="00000000" w:rsidRPr="00000000" w14:paraId="0000005B">
                <w:pPr>
                  <w:numPr>
                    <w:ilvl w:val="0"/>
                    <w:numId w:val="1"/>
                  </w:numPr>
                  <w:tabs>
                    <w:tab w:val="left" w:leader="none" w:pos="829"/>
                  </w:tabs>
                  <w:spacing w:before="1" w:line="219" w:lineRule="auto"/>
                  <w:ind w:left="828" w:hanging="36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e) membri del consiglio di amministrazione cui sia stata conferita la legale rappresentanza, ivi compresi gli institori e i procuratori generali;</w:t>
                </w:r>
              </w:p>
              <w:p w:rsidR="00000000" w:rsidDel="00000000" w:rsidP="00000000" w:rsidRDefault="00000000" w:rsidRPr="00000000" w14:paraId="0000005C">
                <w:pPr>
                  <w:numPr>
                    <w:ilvl w:val="0"/>
                    <w:numId w:val="1"/>
                  </w:numPr>
                  <w:tabs>
                    <w:tab w:val="left" w:leader="none" w:pos="829"/>
                  </w:tabs>
                  <w:spacing w:before="1" w:line="219" w:lineRule="auto"/>
                  <w:ind w:left="828" w:hanging="36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f) componenti degli organi con poteri di direzione o di vigilanza e soggetti muniti di poteri di rappresentanza, di direzione o di controllo;</w:t>
                </w:r>
              </w:p>
              <w:p w:rsidR="00000000" w:rsidDel="00000000" w:rsidP="00000000" w:rsidRDefault="00000000" w:rsidRPr="00000000" w14:paraId="0000005D">
                <w:pPr>
                  <w:numPr>
                    <w:ilvl w:val="0"/>
                    <w:numId w:val="1"/>
                  </w:numPr>
                  <w:tabs>
                    <w:tab w:val="left" w:leader="none" w:pos="829"/>
                  </w:tabs>
                  <w:spacing w:before="1" w:line="219" w:lineRule="auto"/>
                  <w:ind w:left="828" w:hanging="36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g) direttore tecnico e socio unico;</w:t>
                </w:r>
              </w:p>
              <w:p w:rsidR="00000000" w:rsidDel="00000000" w:rsidP="00000000" w:rsidRDefault="00000000" w:rsidRPr="00000000" w14:paraId="0000005E">
                <w:pPr>
                  <w:numPr>
                    <w:ilvl w:val="0"/>
                    <w:numId w:val="1"/>
                  </w:numPr>
                  <w:tabs>
                    <w:tab w:val="left" w:leader="none" w:pos="829"/>
                  </w:tabs>
                  <w:spacing w:before="1" w:lineRule="auto"/>
                  <w:ind w:left="828" w:right="302" w:hanging="36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h) amministratore di fatto nelle ipotesi di cui alle lettere precedenti.</w:t>
                </w:r>
              </w:p>
            </w:tc>
          </w:tr>
          <w:tr>
            <w:trPr>
              <w:cantSplit w:val="0"/>
              <w:trHeight w:val="270" w:hRule="atLeast"/>
              <w:tblHeader w:val="0"/>
            </w:trPr>
            <w:tc>
              <w:tcPr>
                <w:gridSpan w:val="4"/>
                <w:shd w:fill="e7e6e6" w:val="clear"/>
              </w:tcPr>
              <w:p w:rsidR="00000000" w:rsidDel="00000000" w:rsidP="00000000" w:rsidRDefault="00000000" w:rsidRPr="00000000" w14:paraId="00000062">
                <w:pPr>
                  <w:ind w:left="142" w:right="1332" w:firstLine="0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INDICAZIONE DEI SOGGETTI DI CUI ALL’ART. 94 CO. 3 DEL D.LGS. N. 36/2023</w:t>
                </w:r>
              </w:p>
            </w:tc>
          </w:tr>
        </w:tbl>
      </w:sdtContent>
    </w:sdt>
    <w:p w:rsidR="00000000" w:rsidDel="00000000" w:rsidP="00000000" w:rsidRDefault="00000000" w:rsidRPr="00000000" w14:paraId="00000066">
      <w:pPr>
        <w:widowControl w:val="1"/>
        <w:rPr/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105" w:tblpY="373.41210937500136"/>
        <w:tblW w:w="9814.0" w:type="dxa"/>
        <w:jc w:val="left"/>
        <w:tblInd w:w="1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61"/>
        <w:gridCol w:w="2235"/>
        <w:gridCol w:w="1217"/>
        <w:gridCol w:w="3301"/>
        <w:tblGridChange w:id="0">
          <w:tblGrid>
            <w:gridCol w:w="3061"/>
            <w:gridCol w:w="2235"/>
            <w:gridCol w:w="1217"/>
            <w:gridCol w:w="3301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67">
            <w:pPr>
              <w:spacing w:before="2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Cognome e Nome</w:t>
            </w:r>
          </w:p>
        </w:tc>
        <w:tc>
          <w:tcPr>
            <w:gridSpan w:val="3"/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before="2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Luogo e data di nascita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before="2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Residenza (indirizzo completo)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before="2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Codice Fiscale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before="2" w:lineRule="auto"/>
              <w:ind w:left="21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Carica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before="4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Cognome e Nome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before="2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Luogo e data di nascita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before="2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Residenza (indirizzo completo)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before="2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Codice Fiscale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before="2" w:lineRule="auto"/>
              <w:ind w:left="21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Carica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before="4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Cognome e Nome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before="2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Luogo e data di nascita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before="2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Residenza (indirizzo completo)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spacing w:before="2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Codice Fiscale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before="2" w:lineRule="auto"/>
              <w:ind w:left="21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Carica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spacing w:before="4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Cognome e Nome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spacing w:before="2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Luogo e data di nascita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spacing w:before="2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Residenza (indirizzo completo)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spacing w:before="2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Codice Fiscale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before="2" w:lineRule="auto"/>
              <w:ind w:left="21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Carica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5"/>
        </w:tabs>
        <w:spacing w:after="0" w:before="0" w:line="240" w:lineRule="auto"/>
        <w:ind w:left="574" w:right="158" w:hanging="455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L’OPERATORE ECONOMICO E PER I SOGGETTI INDIVIDUATI AI PRECEDENTI PUNTI, DI NON INCORRERE NELLE CAUSE DI ESCLUSIONE RICHIAMATE AGLI ARTT. 94 E 95 DEL D.LGS. N. 36/2023;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5"/>
        </w:tabs>
        <w:spacing w:after="0" w:before="0" w:line="240" w:lineRule="auto"/>
        <w:ind w:left="574" w:right="152" w:hanging="45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LA PARTECIPAZIONE ALLA PRESENTE PROCEDURA NON DETERMINA ALCUNA SITUAZIONE DI CONFLITTO DI INTERESSE,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anche potenziale, ai sensi dell’articolo 16 del D.lgs. n. 36/2023 nonché della vigente normativa in materia, tale da ledere l’imparzialità e l’immagine nell’agire della Stazione appaltante e si impegna a comunicare la sussistenza di potenziali conflitti di interesse rispetto ai soggetti che intervengono e interverranno nella procedura di gara - mediante consultazione del profilo del committente - e a fornire gli elementi utili a consentire la valutazione della stazione appaltante;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5"/>
        </w:tabs>
        <w:spacing w:after="0" w:before="63" w:line="240" w:lineRule="auto"/>
        <w:ind w:left="574" w:right="151" w:hanging="45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IMPEGNARSI A OTTEMPERARE AL RISPETTO DEI PRINCIPI PER LA SOSTENIBILITÀ AMBIENTALE E PER LA FATTIBILITÀ DELL’INTERVENTO RIGUARDO AL PRINCIPIO ORIZZONTALE DEL “DO NOT SIGNIFICANT HARM” (DNSH)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ai sensi dell'articolo 17 del Regolamento (UE) 2020/852 esuccessivo art. 18 del Regolamento UE 241/2021 e della Circolare del MEF n. 33 del 13.10.2022 “Aggiornamento Guida operativa per il rispetto del principio di non arrecare danno significativo all'ambiente (cd. DNSH)”;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1"/>
        <w:numPr>
          <w:ilvl w:val="0"/>
          <w:numId w:val="2"/>
        </w:numPr>
        <w:tabs>
          <w:tab w:val="left" w:leader="none" w:pos="573"/>
          <w:tab w:val="left" w:leader="none" w:pos="575"/>
        </w:tabs>
        <w:spacing w:before="93" w:lineRule="auto"/>
        <w:ind w:left="574" w:hanging="455"/>
        <w:rPr>
          <w:rFonts w:ascii="Arial" w:cs="Arial" w:eastAsia="Arial" w:hAnsi="Arial"/>
          <w:b w:val="0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  <w:t xml:space="preserve">CHE L’OPERATORE ECONOMICO OCCUPA UN NUMERO PARI A ……. DIPENDENTI</w:t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,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1320800</wp:posOffset>
                </wp:positionH>
                <wp:positionV relativeFrom="paragraph">
                  <wp:posOffset>622300</wp:posOffset>
                </wp:positionV>
                <wp:extent cx="8890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556570" y="3775555"/>
                          <a:ext cx="35788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1320800</wp:posOffset>
                </wp:positionH>
                <wp:positionV relativeFrom="paragraph">
                  <wp:posOffset>622300</wp:posOffset>
                </wp:positionV>
                <wp:extent cx="8890" cy="12700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5"/>
        </w:tabs>
        <w:spacing w:after="0" w:before="0" w:line="240" w:lineRule="auto"/>
        <w:ind w:left="574" w:right="149" w:hanging="45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EDOTTO DEGLI OBBLIGHI DERIVANTI DAL CODICE DI COMPORTAMENTO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adottato dall’Amministrazione reperibile sul sito internet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www.uniroma1.it,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sezione Amministrazione trasparente, sottosezione Disposizioni generali (link diretto: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https://www.uniroma1.it/it/documento/codice-etico-e-di-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comportamento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e di impegnarsi, in caso di affidamento, ad osservare e a far osservare ai propri dipendenti e collaboratori, per quanto applicabile, il suddetto codice, pena la risoluzione del contratto;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5689600</wp:posOffset>
                </wp:positionH>
                <wp:positionV relativeFrom="paragraph">
                  <wp:posOffset>-1777999</wp:posOffset>
                </wp:positionV>
                <wp:extent cx="8890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06313" y="3775555"/>
                          <a:ext cx="7937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5689600</wp:posOffset>
                </wp:positionH>
                <wp:positionV relativeFrom="paragraph">
                  <wp:posOffset>-1777999</wp:posOffset>
                </wp:positionV>
                <wp:extent cx="8890" cy="12700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3"/>
          <w:tab w:val="left" w:leader="none" w:pos="575"/>
        </w:tabs>
        <w:spacing w:after="0" w:before="0" w:line="240" w:lineRule="auto"/>
        <w:ind w:left="574" w:right="183" w:hanging="45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ACCETTARE IL PATTO DI INTEGRITÀ PREDISPOSTO DAL DIPARTIMENTO DI INGEGNERIA DELL’INFORMAZIONE, ELETTRONICA E TELECOMUNICAZIONI DI SAPIENZA UNIVERSITÀ DI ROMA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allegato alla presente dichiarazione. La mancata accettazione e/o il mancato rispetto delle clausole contenute nel protocollo di legalità/patto di integrità costituisce causa di esclusione o di risoluzione del contratto, ai sensi dell’articolo 83-bis, del decreto legislativo 159/2011;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Style w:val="Heading1"/>
        <w:numPr>
          <w:ilvl w:val="0"/>
          <w:numId w:val="2"/>
        </w:numPr>
        <w:tabs>
          <w:tab w:val="left" w:leader="none" w:pos="573"/>
          <w:tab w:val="left" w:leader="none" w:pos="575"/>
        </w:tabs>
        <w:ind w:left="574" w:hanging="455"/>
        <w:rPr/>
      </w:pPr>
      <w:r w:rsidDel="00000000" w:rsidR="00000000" w:rsidRPr="00000000">
        <w:rPr>
          <w:rtl w:val="0"/>
        </w:rPr>
        <w:t xml:space="preserve">PER QUANTO CONCERNE L’ART. 53, COMMA 16-TER, DEL D. LGS. 165/2001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9"/>
        </w:tabs>
        <w:spacing w:after="0" w:before="0" w:line="240" w:lineRule="auto"/>
        <w:ind w:left="828" w:right="150" w:hanging="28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aver concluso contratti di lavoro subordinato o autonomo con ex dipendenti dell’Università La Sapienza e comunque di non aver attribuito incarichi ad ex dipendenti dell’Università La Sapienza che hanno esercitato poteri autoritativi o negoziali nel triennio successivo alla cessazione del rapporto;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8"/>
        </w:tabs>
        <w:spacing w:after="0" w:before="63" w:line="240" w:lineRule="auto"/>
        <w:ind w:left="828" w:right="157" w:hanging="281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consapevole che, ai sensi del predetto art. 53, comma 16 ter, i contratti conclusi e gli incarichi conferiti in violazione di tali prescrizioni sono nulli e che è fatto divieto ai soggetti privati che li </w:t>
      </w:r>
      <w:r w:rsidDel="00000000" w:rsidR="00000000" w:rsidRPr="00000000">
        <w:rPr>
          <w:sz w:val="20"/>
          <w:szCs w:val="20"/>
          <w:rtl w:val="0"/>
        </w:rPr>
        <w:t xml:space="preserve">hanno conclusi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conferiti di contrattare con le pubbliche amministrazioni per i successivi tre anni, con l'obbligo di restituzione dei compensi.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Style w:val="Heading1"/>
        <w:numPr>
          <w:ilvl w:val="0"/>
          <w:numId w:val="2"/>
        </w:numPr>
        <w:tabs>
          <w:tab w:val="left" w:leader="none" w:pos="575"/>
        </w:tabs>
        <w:ind w:left="574" w:right="153" w:hanging="455"/>
        <w:jc w:val="both"/>
        <w:rPr/>
      </w:pPr>
      <w:r w:rsidDel="00000000" w:rsidR="00000000" w:rsidRPr="00000000">
        <w:rPr>
          <w:rtl w:val="0"/>
        </w:rPr>
        <w:t xml:space="preserve">POSIZIONE RELATIVAMENTE AGLI OBBLIGHI IN MATERIA DI LAVORO DELLE PERSONE CON DISABILITÀ DI CUI ALLA LEGGE 12 MARZO 1999, N. 68</w:t>
      </w:r>
    </w:p>
    <w:p w:rsidR="00000000" w:rsidDel="00000000" w:rsidP="00000000" w:rsidRDefault="00000000" w:rsidRPr="00000000" w14:paraId="000000C8">
      <w:pPr>
        <w:pStyle w:val="Heading1"/>
        <w:tabs>
          <w:tab w:val="left" w:leader="none" w:pos="575"/>
        </w:tabs>
        <w:ind w:right="153" w:firstLine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495.0" w:type="dxa"/>
        <w:jc w:val="left"/>
        <w:tblInd w:w="5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25"/>
        <w:gridCol w:w="5070"/>
        <w:tblGridChange w:id="0">
          <w:tblGrid>
            <w:gridCol w:w="4425"/>
            <w:gridCol w:w="5070"/>
          </w:tblGrid>
        </w:tblGridChange>
      </w:tblGrid>
      <w:tr>
        <w:trPr>
          <w:cantSplit w:val="0"/>
          <w:trHeight w:val="23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1" w:right="192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L’operatore economico è in regola con le norme che disciplinano il diritto al lavoro dei disabili di cui alla l. 12 marzo 1999, n. 68 (art. 94, co. 5, lett.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del d.lgs. 36/2023)?</w:t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371" w:right="145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⃝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</w:tr>
      <w:tr>
        <w:trPr>
          <w:cantSplit w:val="0"/>
          <w:trHeight w:val="1051.083984374999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41.7322834645671" w:right="109.37007874015819" w:firstLine="27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⃝</w:t>
            </w:r>
            <w:r w:rsidDel="00000000" w:rsidR="00000000" w:rsidRPr="00000000">
              <w:rPr>
                <w:rFonts w:ascii="Cambria Math" w:cs="Cambria Math" w:eastAsia="Cambria Math" w:hAnsi="Cambria Math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è tenuto alla disciplina di cui alla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L.6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8/1999 per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il seguente motivo: 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5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Dichiara, infine, ai sensi dell’art. 13 del Regolamento UE n. 2016/679 relativo alla protezione delle persone fisiche con riguardo al trattamento dei dati personali, nonché alla libera circolazione di tali dati, di essere edotto che i dati personali, anche giudiziari, raccolti saranno trattati, anche con strumenti informatici, esclusivamente nell’ambito della presente procedura di affidamento e per le finalità ivi descritte nonché secondo le disposizioni contenute nell’art. 22 del Regolamento (UE) 2021/241, e di essere stato informato circa i diritti di cui agli artt. da 15 a 23 del Regolamento UE n. 2016/679.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85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8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 digitale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66666666666668"/>
          <w:szCs w:val="21.66666666666666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 legale rappresentante/procuratore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8"/>
        </w:tabs>
        <w:spacing w:after="0" w:before="6" w:line="244" w:lineRule="auto"/>
        <w:ind w:left="220" w:right="14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40" w:w="11910" w:orient="portrait"/>
      <w:pgMar w:bottom="880" w:top="880" w:left="900" w:right="840" w:header="1700.7874015748032" w:footer="68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libri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19"/>
        <w:szCs w:val="19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-568162</wp:posOffset>
          </wp:positionH>
          <wp:positionV relativeFrom="paragraph">
            <wp:posOffset>524074</wp:posOffset>
          </wp:positionV>
          <wp:extent cx="7590155" cy="932815"/>
          <wp:effectExtent b="0" l="0" r="0" t="0"/>
          <wp:wrapNone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0155" cy="93281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3337</wp:posOffset>
          </wp:positionH>
          <wp:positionV relativeFrom="page">
            <wp:posOffset>10772775</wp:posOffset>
          </wp:positionV>
          <wp:extent cx="7590155" cy="932815"/>
          <wp:effectExtent b="0" l="0" r="0" t="0"/>
          <wp:wrapNone/>
          <wp:docPr id="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0155" cy="9328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-568162</wp:posOffset>
          </wp:positionH>
          <wp:positionV relativeFrom="paragraph">
            <wp:posOffset>-1079999</wp:posOffset>
          </wp:positionV>
          <wp:extent cx="7590155" cy="932815"/>
          <wp:effectExtent b="0" l="0" r="0" t="0"/>
          <wp:wrapNone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0155" cy="9328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828" w:hanging="360"/>
      </w:pPr>
      <w:rPr>
        <w:u w:val="none"/>
      </w:rPr>
    </w:lvl>
    <w:lvl w:ilvl="1">
      <w:start w:val="0"/>
      <w:numFmt w:val="bullet"/>
      <w:lvlText w:val="•"/>
      <w:lvlJc w:val="left"/>
      <w:pPr>
        <w:ind w:left="1785" w:hanging="360"/>
      </w:pPr>
      <w:rPr>
        <w:u w:val="none"/>
      </w:rPr>
    </w:lvl>
    <w:lvl w:ilvl="2">
      <w:start w:val="0"/>
      <w:numFmt w:val="bullet"/>
      <w:lvlText w:val="•"/>
      <w:lvlJc w:val="left"/>
      <w:pPr>
        <w:ind w:left="2750" w:hanging="360"/>
      </w:pPr>
      <w:rPr>
        <w:u w:val="none"/>
      </w:rPr>
    </w:lvl>
    <w:lvl w:ilvl="3">
      <w:start w:val="0"/>
      <w:numFmt w:val="bullet"/>
      <w:lvlText w:val="•"/>
      <w:lvlJc w:val="left"/>
      <w:pPr>
        <w:ind w:left="3716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4681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5647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6612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7577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8543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574" w:hanging="455"/>
      </w:pPr>
      <w:rPr>
        <w:rFonts w:ascii="Arial" w:cs="Arial" w:eastAsia="Arial" w:hAnsi="Arial"/>
        <w:b w:val="1"/>
        <w:sz w:val="20"/>
        <w:szCs w:val="20"/>
      </w:rPr>
    </w:lvl>
    <w:lvl w:ilvl="1">
      <w:start w:val="1"/>
      <w:numFmt w:val="decimal"/>
      <w:lvlText w:val="%2."/>
      <w:lvlJc w:val="left"/>
      <w:pPr>
        <w:ind w:left="828" w:hanging="281"/>
      </w:pPr>
      <w:rPr>
        <w:rFonts w:ascii="Arial" w:cs="Arial" w:eastAsia="Arial" w:hAnsi="Arial"/>
        <w:sz w:val="20"/>
        <w:szCs w:val="20"/>
      </w:rPr>
    </w:lvl>
    <w:lvl w:ilvl="2">
      <w:start w:val="0"/>
      <w:numFmt w:val="bullet"/>
      <w:lvlText w:val="•"/>
      <w:lvlJc w:val="left"/>
      <w:pPr>
        <w:ind w:left="1858" w:hanging="280.9999999999998"/>
      </w:pPr>
      <w:rPr/>
    </w:lvl>
    <w:lvl w:ilvl="3">
      <w:start w:val="0"/>
      <w:numFmt w:val="bullet"/>
      <w:lvlText w:val="•"/>
      <w:lvlJc w:val="left"/>
      <w:pPr>
        <w:ind w:left="2896" w:hanging="281"/>
      </w:pPr>
      <w:rPr/>
    </w:lvl>
    <w:lvl w:ilvl="4">
      <w:start w:val="0"/>
      <w:numFmt w:val="bullet"/>
      <w:lvlText w:val="•"/>
      <w:lvlJc w:val="left"/>
      <w:pPr>
        <w:ind w:left="3935" w:hanging="281"/>
      </w:pPr>
      <w:rPr/>
    </w:lvl>
    <w:lvl w:ilvl="5">
      <w:start w:val="0"/>
      <w:numFmt w:val="bullet"/>
      <w:lvlText w:val="•"/>
      <w:lvlJc w:val="left"/>
      <w:pPr>
        <w:ind w:left="4973" w:hanging="281"/>
      </w:pPr>
      <w:rPr/>
    </w:lvl>
    <w:lvl w:ilvl="6">
      <w:start w:val="0"/>
      <w:numFmt w:val="bullet"/>
      <w:lvlText w:val="•"/>
      <w:lvlJc w:val="left"/>
      <w:pPr>
        <w:ind w:left="6012" w:hanging="281"/>
      </w:pPr>
      <w:rPr/>
    </w:lvl>
    <w:lvl w:ilvl="7">
      <w:start w:val="0"/>
      <w:numFmt w:val="bullet"/>
      <w:lvlText w:val="•"/>
      <w:lvlJc w:val="left"/>
      <w:pPr>
        <w:ind w:left="7050" w:hanging="281"/>
      </w:pPr>
      <w:rPr/>
    </w:lvl>
    <w:lvl w:ilvl="8">
      <w:start w:val="0"/>
      <w:numFmt w:val="bullet"/>
      <w:lvlText w:val="•"/>
      <w:lvlJc w:val="left"/>
      <w:pPr>
        <w:ind w:left="8089" w:hanging="281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74" w:hanging="455"/>
    </w:pPr>
    <w:rPr>
      <w:rFonts w:ascii="Arial" w:cs="Arial" w:eastAsia="Arial" w:hAnsi="Arial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pacing w:after="120" w:before="480" w:lineRule="auto"/>
      <w:ind w:left="0" w:hanging="1"/>
    </w:pPr>
    <w:rPr>
      <w:rFonts w:ascii="Times New Roman" w:cs="Times New Roman" w:eastAsia="Times New Roman" w:hAnsi="Times New Roman"/>
      <w:b w:val="1"/>
      <w:sz w:val="72"/>
      <w:szCs w:val="72"/>
      <w:vertAlign w:val="baseline"/>
    </w:rPr>
  </w:style>
  <w:style w:type="paragraph" w:styleId="Normale" w:default="1">
    <w:name w:val="Normal"/>
    <w:qFormat w:val="1"/>
    <w:rPr>
      <w:rFonts w:ascii="Arial MT" w:cs="Arial MT" w:eastAsia="Arial MT" w:hAnsi="Arial MT"/>
      <w:lang w:val="it-IT"/>
    </w:rPr>
  </w:style>
  <w:style w:type="paragraph" w:styleId="Titolo1">
    <w:name w:val="heading 1"/>
    <w:basedOn w:val="Normale"/>
    <w:uiPriority w:val="9"/>
    <w:qFormat w:val="1"/>
    <w:pPr>
      <w:ind w:left="574" w:hanging="455"/>
      <w:outlineLvl w:val="0"/>
    </w:pPr>
    <w:rPr>
      <w:rFonts w:ascii="Arial" w:cs="Arial" w:eastAsia="Arial" w:hAnsi="Arial"/>
      <w:b w:val="1"/>
      <w:bCs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0"/>
      <w:szCs w:val="20"/>
    </w:rPr>
  </w:style>
  <w:style w:type="paragraph" w:styleId="Paragrafoelenco">
    <w:name w:val="List Paragraph"/>
    <w:basedOn w:val="Normale"/>
    <w:uiPriority w:val="1"/>
    <w:qFormat w:val="1"/>
    <w:pPr>
      <w:ind w:left="574" w:hanging="455"/>
      <w:jc w:val="both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Titolo">
    <w:name w:val="Title"/>
    <w:basedOn w:val="Normale"/>
    <w:next w:val="Normale"/>
    <w:link w:val="TitoloCarattere"/>
    <w:uiPriority w:val="10"/>
    <w:qFormat w:val="1"/>
    <w:rsid w:val="009B336D"/>
    <w:pPr>
      <w:keepNext w:val="1"/>
      <w:keepLines w:val="1"/>
      <w:widowControl w:val="1"/>
      <w:suppressAutoHyphens w:val="1"/>
      <w:autoSpaceDE w:val="1"/>
      <w:autoSpaceDN w:val="1"/>
      <w:spacing w:after="120" w:before="480"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position w:val="-1"/>
      <w:sz w:val="72"/>
      <w:szCs w:val="72"/>
      <w:lang w:eastAsia="it-IT"/>
    </w:rPr>
  </w:style>
  <w:style w:type="character" w:styleId="TitoloCarattere" w:customStyle="1">
    <w:name w:val="Titolo Carattere"/>
    <w:basedOn w:val="Carpredefinitoparagrafo"/>
    <w:link w:val="Titolo"/>
    <w:uiPriority w:val="10"/>
    <w:rsid w:val="009B336D"/>
    <w:rPr>
      <w:rFonts w:ascii="Times New Roman" w:cs="Times New Roman" w:eastAsia="Times New Roman" w:hAnsi="Times New Roman"/>
      <w:b w:val="1"/>
      <w:position w:val="-1"/>
      <w:sz w:val="72"/>
      <w:szCs w:val="72"/>
      <w:lang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uniroma1.it/it/documento/codice-etico-e-di-comportamento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ww.uniroma1.it/it/documento/codice-etico-e-di-comportament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://www.uniroma1.i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Cv0TaMGU71X8VQGpUAYa9noHug==">CgMxLjAaHwoBMBIaChgICVIUChJ0YWJsZS5pYmJ2aXRrMHRxZDgyDmgueHgzeTJ3NHY4bmgxMghoLmdqZGd4czgAciExLU05WTFpT3RDQ09ONEFNRWctV2pPRk9JRllza2NmUzA=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2025-01-31T17:00:00Z</dcterms:created>
  <dc:creator>Patrizia PC. Ceriani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2024-01-25T00:00:00Z</vt:filetime>
  </property>
</Properties>
</file>